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1860"/>
        <w:gridCol w:w="180"/>
        <w:gridCol w:w="361"/>
        <w:gridCol w:w="236"/>
        <w:gridCol w:w="1207"/>
        <w:gridCol w:w="111"/>
        <w:gridCol w:w="555"/>
        <w:gridCol w:w="736"/>
        <w:gridCol w:w="361"/>
        <w:gridCol w:w="236"/>
        <w:gridCol w:w="1207"/>
        <w:gridCol w:w="111"/>
        <w:gridCol w:w="555"/>
        <w:gridCol w:w="1638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860" w:type="dxa"/>
            <w:vAlign w:val="center"/>
            <w:textDirection w:val="lrTb"/>
            <w:noWrap w:val="false"/>
          </w:tcPr>
          <w:p>
            <w:pPr>
              <w:ind w:left="0" w:right="0" w:firstLine="567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1. В период с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8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3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20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апреля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ans" w:hAnsi="PT Sans" w:eastAsia="PT Sans" w:cs="PT Sans"/>
                <w:color w:val="161e26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73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right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 по «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361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01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36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»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207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декабря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11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PT Sans" w:hAnsi="PT Sans" w:eastAsia="PT Sans" w:cs="PT Sans"/>
                <w:color w:val="161e26"/>
                <w:sz w:val="26"/>
              </w:rPr>
              <w:t xml:space="preserve"> 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55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2023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638" w:type="dxa"/>
            <w:vAlign w:val="center"/>
            <w:textDirection w:val="lrTb"/>
            <w:noWrap w:val="false"/>
          </w:tcPr>
          <w:p>
            <w:pPr>
              <w:ind w:left="6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г. в отношении</w:t>
            </w:r>
            <w:r/>
          </w:p>
        </w:tc>
      </w:tr>
    </w:tbl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объектов недвижимости, расположенных на территории:  МО СП село Шанский Завод Износковского района Калужской области, № кадастровых кварталов 40:08:056301,40:08:055101, 40:08:056101, 40:08:057101, 40:08:057001</w:t>
      </w:r>
      <w:r/>
    </w:p>
    <w:p>
      <w:pPr>
        <w:ind w:left="0" w:right="120" w:firstLine="0"/>
        <w:jc w:val="center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</w:rPr>
        <w:t xml:space="preserve">(указываются сведения о территории, в границах которой будут выполняться комплексные кадастровые работы )</w:t>
      </w:r>
      <w:r/>
    </w:p>
    <w:p>
      <w:pPr>
        <w:ind w:left="0" w:right="0" w:firstLine="0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  <w:u w:val="single"/>
        </w:rPr>
        <w:t xml:space="preserve">будут выполняться комплексные кадастровые работы в соответствии</w:t>
        <w:br/>
        <w:t xml:space="preserve"> с муниципальным контрактом № 01373000171230000140001 от 26 апреля 2023г.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 ,</w:t>
      </w:r>
      <w:r/>
    </w:p>
    <w:p>
      <w:pPr>
        <w:ind w:left="195" w:right="120" w:firstLine="0"/>
        <w:jc w:val="center"/>
        <w:spacing w:before="0" w:after="24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</w:rPr>
        <w:t xml:space="preserve">(указываются наименование, дата, номер документа, на основании которого выполняются комплексные кадастровые работы)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заключенным со стороны заказчика:  Администрация муниципального района «Износковский район»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почтовый адрес:  Калужская область, Износковский район, с.Износки, ул.Ленина, д.27</w:t>
      </w:r>
      <w:r/>
    </w:p>
    <w:p>
      <w:pPr>
        <w:ind w:left="1785" w:right="0" w:firstLine="0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 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2598"/>
        <w:gridCol w:w="1964"/>
        <w:gridCol w:w="2987"/>
        <w:gridCol w:w="1806"/>
      </w:tblGrid>
      <w:tr>
        <w:trPr/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598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адрес электронной почты: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96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iznoski-imushestvo@inbox.ru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none" w:color="000000" w:sz="4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2987" w:type="dxa"/>
            <w:vAlign w:val="center"/>
            <w:textDirection w:val="lrTb"/>
            <w:noWrap w:val="false"/>
          </w:tcPr>
          <w:p>
            <w:pPr>
              <w:ind w:left="6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номер контактного телефона:</w:t>
            </w:r>
            <w:r/>
          </w:p>
        </w:tc>
        <w:tc>
          <w:tcPr>
            <w:tcBorders>
              <w:top w:val="none" w:color="000000" w:sz="4" w:space="0"/>
              <w:left w:val="none" w:color="000000" w:sz="4" w:space="0"/>
              <w:bottom w:val="single" w:color="000000" w:sz="6" w:space="0"/>
              <w:right w:val="none" w:color="000000" w:sz="4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1806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84844945343</w:t>
            </w:r>
            <w:r/>
          </w:p>
        </w:tc>
      </w:tr>
    </w:tbl>
    <w:p>
      <w:pPr>
        <w:ind w:left="0" w:right="0" w:firstLine="0"/>
        <w:spacing w:before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со стороны исполнителя:</w:t>
      </w:r>
      <w:r/>
    </w:p>
    <w:p>
      <w:pPr>
        <w:ind w:left="0" w:right="0" w:firstLine="0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полное и (в случае, если имеется) сокращенное наименование юридического лица:</w:t>
        <w:br/>
        <w:t xml:space="preserve">                                         ООО "Коллегия кадастровых инженеров" ;</w:t>
      </w:r>
      <w:r/>
    </w:p>
    <w:p>
      <w:pPr>
        <w:ind w:left="0" w:right="120" w:firstLine="0"/>
        <w:jc w:val="center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16"/>
        </w:rPr>
        <w:t xml:space="preserve">(если документ, на основании которого выполняются комплексные кадастровые работы, заключен с юридическим лицом)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фамилия, имя, отчество (при наличии) кадастрового инженера:  Верёвкин Николай Сергеевич ;</w:t>
      </w:r>
      <w:r/>
    </w:p>
    <w:p>
      <w:pPr>
        <w:ind w:left="6720" w:right="120" w:firstLine="0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 </w:t>
      </w:r>
      <w:r/>
    </w:p>
    <w:p>
      <w:pPr>
        <w:ind w:left="0" w:right="0" w:firstLine="0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наименование саморегулируемой организации кадастровых инженеров, членом которой является кадастровый инженер:  Ассоциация СРО «ОПКД» ;</w:t>
      </w:r>
      <w:r/>
    </w:p>
    <w:p>
      <w:pPr>
        <w:ind w:left="3345" w:right="120" w:firstLine="0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 </w:t>
      </w:r>
      <w:r/>
    </w:p>
    <w:p>
      <w:pPr>
        <w:ind w:left="0" w:right="0" w:firstLine="0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уникальный регистрационный номер члена саморегулируемой организации</w:t>
        <w:br/>
        <w:t xml:space="preserve"> кадастровых инженеров в реестре членов саморегулируемой организации кадастровых инженеров:  1661 ;</w:t>
      </w:r>
      <w:r/>
    </w:p>
    <w:p>
      <w:pPr>
        <w:ind w:left="1290" w:right="120" w:firstLine="0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 </w:t>
      </w:r>
      <w:r/>
    </w:p>
    <w:p>
      <w:pPr>
        <w:ind w:left="0" w:right="0" w:firstLine="0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дата внесения сведений о физическом лице в реестр членов саморегулируемой организации кадастровых инженеров:  10.06.2016 ;</w:t>
      </w:r>
      <w:r/>
    </w:p>
    <w:p>
      <w:pPr>
        <w:ind w:left="2640" w:right="120" w:firstLine="0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 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почтовый адрес:  г. Курск, ул. Карла Маркса, 62/21, оф. 201-203 ;</w:t>
      </w:r>
      <w:r/>
    </w:p>
    <w:p>
      <w:pPr>
        <w:ind w:left="1785" w:right="120" w:firstLine="0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 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адрес электронной почты:  kadastr@kkki.ru ;</w:t>
      </w:r>
      <w:r/>
    </w:p>
    <w:p>
      <w:pPr>
        <w:ind w:left="2775" w:right="120" w:firstLine="0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 </w:t>
      </w:r>
      <w:r/>
    </w:p>
    <w:p>
      <w:pPr>
        <w:ind w:left="0" w:right="0" w:firstLine="0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номер контактного телефона:  +7 (4712) 74-62-52 .</w:t>
      </w:r>
      <w:r/>
    </w:p>
    <w:p>
      <w:pPr>
        <w:ind w:left="3120" w:right="120" w:firstLine="0"/>
        <w:spacing w:before="0"/>
        <w:shd w:val="clear" w:color="ffffff" w:fill="ffffff"/>
        <w:pBdr>
          <w:top w:val="singl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PT Sans" w:hAnsi="PT Sans" w:eastAsia="PT Sans" w:cs="PT Sans"/>
          <w:color w:val="161e26"/>
          <w:sz w:val="26"/>
        </w:rPr>
        <w:t xml:space="preserve"> </w:t>
      </w:r>
      <w:r/>
    </w:p>
    <w:p>
      <w:pPr>
        <w:ind w:left="0" w:right="0" w:firstLine="567"/>
        <w:jc w:val="both"/>
        <w:spacing w:before="12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2. Правообладатели объектов недвижимости, которые считаются в соответствии с частью 4 статьи 69 Федерального закона от 13 июля 2015 года № 218-ФЗ «О государственной регистрации недвижимости» ранее учтенными или сведения о которых в соответствии с частью 9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статьи 69 Федерального закона от 13 июля 2015 года № 218-ФЗ «О государственной регистрации недвижимости» могут быть внесены в Единый государственный реестр недвижимости как о ранее</w:t>
      </w:r>
      <w:r>
        <w:rPr>
          <w:rFonts w:ascii="PT Sans" w:hAnsi="PT Sans" w:eastAsia="PT Sans" w:cs="PT Sans"/>
          <w:color w:val="161e26"/>
          <w:sz w:val="26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учтенных в случае отсутствия в Едином государственном реестре недвижимости сведений о таких объектах недвижимости, вправе предоставить указанному в пункте 1 извещения о начале выполнения комплексных кадастровых работ кадастровому инженеру – исполнителю ком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плексных кадастровых работ имеющиеся у них материалы и документы в отношении таких объектов недвижимости, а также заверенные в порядке, установленном частями 1 и 9 статьи 21 Федерального закона от 13 июля 2015 года № 218-ФЗ «О государственной регистрации н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едвижимости», копии документов, устанавливающих или подтверждающих права на указанные объекты недвижимости.</w:t>
      </w:r>
      <w:r/>
    </w:p>
    <w:p>
      <w:pPr>
        <w:ind w:left="0" w:right="0" w:firstLine="567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3. Правообладатели объектов недвижимости – земельных участков, зданий, сооружений, объектов незавершенного строительства в течение тридцати рабочих дней со дня опубликования извещения о начале выполнения комплексных кадастровых работ (опубликовано в Износк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овской районной газете «Рассвет» № 34 от 05.05.2023г) вправе предоставить кадастровому инженеру –</w:t>
      </w:r>
      <w:r>
        <w:rPr>
          <w:rFonts w:ascii="PT Sans" w:hAnsi="PT Sans" w:eastAsia="PT Sans" w:cs="PT Sans"/>
          <w:color w:val="161e26"/>
          <w:sz w:val="26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исполнителю комплексных кадастровых работ, указанному в пункте 1 извещения о начале выполнения комплексных кадастровых работ, по указанному в пункте 2 извещения</w:t>
      </w:r>
      <w:r>
        <w:rPr>
          <w:rFonts w:ascii="PT Sans" w:hAnsi="PT Sans" w:eastAsia="PT Sans" w:cs="PT Sans"/>
          <w:color w:val="161e26"/>
          <w:sz w:val="26"/>
        </w:rPr>
        <w:t xml:space="preserve"> 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о начале выполнения комплексных кадастровых работ адресу сведения об адресе электронной почты и (или) почтовом адресе, по которым осуществляется связь с лицом, чье право на объект недвижимости зарегистрировано, а также лицом, в пользу которого зарегистриро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вано ограничение права и обременение объекта недвижимости (далее – контактный адрес правообладателя), для внесения в Единый государственный реестр недвижимости сведений о контактном адресе правообладателя и последующего надлежащего уведомления таких лиц о 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завершении подготовки проекта карты-плана территории по результатам комплексных кадастровых работ и о проведении заседания согласительной комиссии по вопросу согласования местоположения границ земельных участков.</w:t>
      </w:r>
      <w:r/>
    </w:p>
    <w:p>
      <w:pPr>
        <w:ind w:left="0" w:right="0" w:firstLine="567"/>
        <w:jc w:val="both"/>
        <w:spacing w:before="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4. Правообладатели объектов недвижимости, расположенных на территории комплексных кадастровых работ, не вправе препятствовать выполнению комплексных кадастровых работ и обязаны обеспечить доступ к указанным объектам недвижимости исполнителю комплексных кад</w:t>
      </w:r>
      <w:r>
        <w:rPr>
          <w:rFonts w:ascii="Times New Roman" w:hAnsi="Times New Roman" w:eastAsia="Times New Roman" w:cs="Times New Roman"/>
          <w:color w:val="000000"/>
          <w:sz w:val="24"/>
        </w:rPr>
        <w:t xml:space="preserve">астровых работ в установленное графиком время.</w:t>
      </w:r>
      <w:r/>
    </w:p>
    <w:p>
      <w:pPr>
        <w:ind w:left="0" w:right="0" w:firstLine="567"/>
        <w:jc w:val="both"/>
        <w:spacing w:before="0" w:after="240"/>
        <w:shd w:val="clear" w:color="ffffff" w:fill="ffffff"/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Times New Roman" w:hAnsi="Times New Roman" w:eastAsia="Times New Roman" w:cs="Times New Roman"/>
          <w:color w:val="000000"/>
          <w:sz w:val="24"/>
        </w:rPr>
        <w:t xml:space="preserve">5. График выполнения комплексных кадастровых работ:</w:t>
      </w:r>
      <w:r/>
    </w:p>
    <w:tbl>
      <w:tblPr>
        <w:tblStyle w:val="48"/>
        <w:tblW w:w="0" w:type="auto"/>
        <w:tblInd w:w="0" w:type="dxa"/>
        <w:tbl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insideH w:val="none" w:color="000000" w:sz="4" w:space="0"/>
          <w:insideV w:val="none" w:color="000000" w:sz="4" w:space="0"/>
        </w:tblBorders>
        <w:tblLayout w:type="autofit"/>
        <w:tblLook w:val="04A0" w:firstRow="1" w:lastRow="0" w:firstColumn="1" w:lastColumn="0" w:noHBand="0" w:noVBand="1"/>
      </w:tblPr>
      <w:tblGrid>
        <w:gridCol w:w="534"/>
        <w:gridCol w:w="4410"/>
        <w:gridCol w:w="4410"/>
      </w:tblGrid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№</w:t>
              <w:br/>
              <w:t xml:space="preserve"> п/п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44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Место выполнения </w:t>
              <w:br/>
              <w:t xml:space="preserve"> комплексных кадастровых работ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44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Время выполнения </w:t>
              <w:br/>
              <w:t xml:space="preserve"> комплексных кадастровых работ</w:t>
            </w:r>
            <w:r/>
          </w:p>
        </w:tc>
      </w:tr>
      <w:tr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534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1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4410" w:type="dxa"/>
            <w:vAlign w:val="center"/>
            <w:textDirection w:val="lrTb"/>
            <w:noWrap w:val="false"/>
          </w:tcPr>
          <w:p>
            <w:pPr>
              <w:ind w:left="0" w:right="0" w:firstLine="0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Калужская область, Износковский район, МО СП село Шанский Завод</w:t>
            </w:r>
            <w:r/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105" w:type="dxa"/>
              <w:top w:w="0" w:type="dxa"/>
              <w:right w:w="105" w:type="dxa"/>
              <w:bottom w:w="0" w:type="dxa"/>
            </w:tcMar>
            <w:tcW w:w="4410" w:type="dxa"/>
            <w:vAlign w:val="center"/>
            <w:textDirection w:val="lrTb"/>
            <w:noWrap w:val="false"/>
          </w:tcPr>
          <w:p>
            <w:pPr>
              <w:ind w:left="0" w:right="0" w:firstLine="0"/>
              <w:jc w:val="center"/>
              <w:spacing w:before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26.04.2023 по 01.12.2023</w:t>
            </w:r>
            <w:r/>
          </w:p>
          <w:p>
            <w:pPr>
              <w:ind w:left="0" w:right="0" w:firstLine="0"/>
              <w:jc w:val="center"/>
              <w:spacing w:before="0" w:after="0"/>
              <w:pBdr>
                <w:top w:val="none" w:color="000000" w:sz="4" w:space="0"/>
                <w:left w:val="none" w:color="000000" w:sz="4" w:space="0"/>
                <w:bottom w:val="none" w:color="000000" w:sz="4" w:space="0"/>
                <w:right w:val="none" w:color="000000" w:sz="4" w:space="0"/>
              </w:pBdr>
            </w:pPr>
            <w:r>
              <w:rPr>
                <w:rFonts w:ascii="Times New Roman" w:hAnsi="Times New Roman" w:eastAsia="Times New Roman" w:cs="Times New Roman"/>
                <w:color w:val="000000"/>
                <w:sz w:val="24"/>
              </w:rPr>
              <w:t xml:space="preserve">с 9.00 до 18.00 ежедневно</w:t>
            </w:r>
            <w:r/>
          </w:p>
        </w:tc>
      </w:tr>
    </w:tbl>
    <w:p>
      <w:r/>
      <w:r/>
    </w:p>
    <w:sectPr>
      <w:footnotePr/>
      <w:endnotePr/>
      <w:type w:val="nextPage"/>
      <w:pgSz w:w="11906" w:h="16838" w:orient="portrait"/>
      <w:pgMar w:top="1134" w:right="850" w:bottom="1134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Sans">
    <w:panose1 w:val="020B0503020203020204"/>
  </w:font>
  <w:font w:name="Times New Roman">
    <w:panose1 w:val="02020603050405020304"/>
  </w:font>
  <w:font w:name="Arial">
    <w:panose1 w:val="020B0604020202020204"/>
  </w:font>
  <w:font w:name="Calibri">
    <w:panose1 w:val="020F050202020403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17"/>
    <w:next w:val="617"/>
    <w:link w:val="14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14">
    <w:name w:val="Heading 1 Char"/>
    <w:basedOn w:val="11"/>
    <w:link w:val="13"/>
    <w:uiPriority w:val="9"/>
    <w:rPr>
      <w:rFonts w:ascii="Arial" w:hAnsi="Arial" w:eastAsia="Arial" w:cs="Arial"/>
      <w:sz w:val="40"/>
      <w:szCs w:val="40"/>
    </w:rPr>
  </w:style>
  <w:style w:type="paragraph" w:styleId="15">
    <w:name w:val="Heading 2"/>
    <w:basedOn w:val="617"/>
    <w:next w:val="617"/>
    <w:link w:val="1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16">
    <w:name w:val="Heading 2 Char"/>
    <w:basedOn w:val="11"/>
    <w:link w:val="15"/>
    <w:uiPriority w:val="9"/>
    <w:rPr>
      <w:rFonts w:ascii="Arial" w:hAnsi="Arial" w:eastAsia="Arial" w:cs="Arial"/>
      <w:sz w:val="34"/>
    </w:rPr>
  </w:style>
  <w:style w:type="paragraph" w:styleId="17">
    <w:name w:val="Heading 3"/>
    <w:basedOn w:val="617"/>
    <w:next w:val="617"/>
    <w:link w:val="1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18">
    <w:name w:val="Heading 3 Char"/>
    <w:basedOn w:val="11"/>
    <w:link w:val="17"/>
    <w:uiPriority w:val="9"/>
    <w:rPr>
      <w:rFonts w:ascii="Arial" w:hAnsi="Arial" w:eastAsia="Arial" w:cs="Arial"/>
      <w:sz w:val="30"/>
      <w:szCs w:val="30"/>
    </w:rPr>
  </w:style>
  <w:style w:type="paragraph" w:styleId="19">
    <w:name w:val="Heading 4"/>
    <w:basedOn w:val="617"/>
    <w:next w:val="617"/>
    <w:link w:val="20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rPr>
      <w:rFonts w:ascii="Arial" w:hAnsi="Arial" w:eastAsia="Arial" w:cs="Arial"/>
      <w:b/>
      <w:bCs/>
      <w:sz w:val="26"/>
      <w:szCs w:val="26"/>
    </w:rPr>
  </w:style>
  <w:style w:type="paragraph" w:styleId="21">
    <w:name w:val="Heading 5"/>
    <w:basedOn w:val="617"/>
    <w:next w:val="617"/>
    <w:link w:val="22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rPr>
      <w:rFonts w:ascii="Arial" w:hAnsi="Arial" w:eastAsia="Arial" w:cs="Arial"/>
      <w:b/>
      <w:bCs/>
      <w:sz w:val="24"/>
      <w:szCs w:val="24"/>
    </w:rPr>
  </w:style>
  <w:style w:type="paragraph" w:styleId="23">
    <w:name w:val="Heading 6"/>
    <w:basedOn w:val="617"/>
    <w:next w:val="617"/>
    <w:link w:val="2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rPr>
      <w:rFonts w:ascii="Arial" w:hAnsi="Arial" w:eastAsia="Arial" w:cs="Arial"/>
      <w:b/>
      <w:bCs/>
      <w:sz w:val="22"/>
      <w:szCs w:val="22"/>
    </w:rPr>
  </w:style>
  <w:style w:type="paragraph" w:styleId="25">
    <w:name w:val="Heading 7"/>
    <w:basedOn w:val="617"/>
    <w:next w:val="617"/>
    <w:link w:val="26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27">
    <w:name w:val="Heading 8"/>
    <w:basedOn w:val="617"/>
    <w:next w:val="617"/>
    <w:link w:val="28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rPr>
      <w:rFonts w:ascii="Arial" w:hAnsi="Arial" w:eastAsia="Arial" w:cs="Arial"/>
      <w:i/>
      <w:iCs/>
      <w:sz w:val="22"/>
      <w:szCs w:val="22"/>
    </w:rPr>
  </w:style>
  <w:style w:type="paragraph" w:styleId="29">
    <w:name w:val="Heading 9"/>
    <w:basedOn w:val="617"/>
    <w:next w:val="617"/>
    <w:link w:val="30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rPr>
      <w:rFonts w:ascii="Arial" w:hAnsi="Arial" w:eastAsia="Arial" w:cs="Arial"/>
      <w:i/>
      <w:iCs/>
      <w:sz w:val="21"/>
      <w:szCs w:val="21"/>
    </w:rPr>
  </w:style>
  <w:style w:type="paragraph" w:styleId="34">
    <w:name w:val="Title"/>
    <w:basedOn w:val="617"/>
    <w:next w:val="617"/>
    <w:link w:val="35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5">
    <w:name w:val="Title Char"/>
    <w:basedOn w:val="11"/>
    <w:link w:val="34"/>
    <w:uiPriority w:val="10"/>
    <w:rPr>
      <w:sz w:val="48"/>
      <w:szCs w:val="48"/>
    </w:rPr>
  </w:style>
  <w:style w:type="paragraph" w:styleId="36">
    <w:name w:val="Subtitle"/>
    <w:basedOn w:val="617"/>
    <w:next w:val="617"/>
    <w:link w:val="37"/>
    <w:uiPriority w:val="11"/>
    <w:qFormat/>
    <w:pPr>
      <w:spacing w:before="200" w:after="200"/>
    </w:pPr>
    <w:rPr>
      <w:sz w:val="24"/>
      <w:szCs w:val="24"/>
    </w:rPr>
  </w:style>
  <w:style w:type="character" w:styleId="37">
    <w:name w:val="Subtitle Char"/>
    <w:basedOn w:val="11"/>
    <w:link w:val="36"/>
    <w:uiPriority w:val="11"/>
    <w:rPr>
      <w:sz w:val="24"/>
      <w:szCs w:val="24"/>
    </w:rPr>
  </w:style>
  <w:style w:type="paragraph" w:styleId="38">
    <w:name w:val="Quote"/>
    <w:basedOn w:val="617"/>
    <w:next w:val="617"/>
    <w:link w:val="39"/>
    <w:uiPriority w:val="29"/>
    <w:qFormat/>
    <w:pPr>
      <w:ind w:left="720" w:right="720"/>
    </w:pPr>
    <w:rPr>
      <w:i/>
    </w:rPr>
  </w:style>
  <w:style w:type="character" w:styleId="39">
    <w:name w:val="Quote Char"/>
    <w:link w:val="38"/>
    <w:uiPriority w:val="29"/>
    <w:rPr>
      <w:i/>
    </w:rPr>
  </w:style>
  <w:style w:type="paragraph" w:styleId="40">
    <w:name w:val="Intense Quote"/>
    <w:basedOn w:val="617"/>
    <w:next w:val="617"/>
    <w:link w:val="41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41">
    <w:name w:val="Intense Quote Char"/>
    <w:link w:val="40"/>
    <w:uiPriority w:val="30"/>
    <w:rPr>
      <w:i/>
    </w:rPr>
  </w:style>
  <w:style w:type="paragraph" w:styleId="42">
    <w:name w:val="Header"/>
    <w:basedOn w:val="617"/>
    <w:link w:val="43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Header Char"/>
    <w:basedOn w:val="11"/>
    <w:link w:val="42"/>
    <w:uiPriority w:val="99"/>
  </w:style>
  <w:style w:type="paragraph" w:styleId="44">
    <w:name w:val="Footer"/>
    <w:basedOn w:val="617"/>
    <w:link w:val="47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5">
    <w:name w:val="Footer Char"/>
    <w:basedOn w:val="11"/>
    <w:link w:val="44"/>
    <w:uiPriority w:val="99"/>
  </w:style>
  <w:style w:type="paragraph" w:styleId="46">
    <w:name w:val="Caption"/>
    <w:basedOn w:val="617"/>
    <w:next w:val="617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</w:style>
  <w:style w:type="table" w:styleId="48">
    <w:name w:val="Table Grid"/>
    <w:basedOn w:val="61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9">
    <w:name w:val="Table Grid Light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50">
    <w:name w:val="Plain Table 1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1">
    <w:name w:val="Plain Table 2"/>
    <w:basedOn w:val="61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2">
    <w:name w:val="Plain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3">
    <w:name w:val="Plain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Plain Table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5">
    <w:name w:val="Grid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1">
    <w:name w:val="Grid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2">
    <w:name w:val="Grid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">
    <w:name w:val="Grid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">
    <w:name w:val="Grid Table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">
    <w:name w:val="Grid Table 4 - Accent 1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">
    <w:name w:val="Grid Table 4 - Accent 2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9">
    <w:name w:val="Grid Table 4 - Accent 3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">
    <w:name w:val="Grid Table 4 - Accent 4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1">
    <w:name w:val="Grid Table 4 - Accent 5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2">
    <w:name w:val="Grid Table 4 - Accent 6"/>
    <w:basedOn w:val="61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3">
    <w:name w:val="Grid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4">
    <w:name w:val="Grid Table 5 Dark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85">
    <w:name w:val="Grid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87">
    <w:name w:val="Grid Table 5 Dark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88">
    <w:name w:val="Grid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89">
    <w:name w:val="Grid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90">
    <w:name w:val="Grid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91">
    <w:name w:val="Grid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2">
    <w:name w:val="Grid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3">
    <w:name w:val="Grid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4">
    <w:name w:val="Grid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5">
    <w:name w:val="Grid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6">
    <w:name w:val="Grid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7">
    <w:name w:val="Grid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2">
    <w:name w:val="Grid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3">
    <w:name w:val="Grid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4">
    <w:name w:val="List Table 1 Light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1 Light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0">
    <w:name w:val="List Table 1 Light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11">
    <w:name w:val="List Table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2">
    <w:name w:val="List Table 2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3">
    <w:name w:val="List Table 2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4">
    <w:name w:val="List Table 2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5">
    <w:name w:val="List Table 2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6">
    <w:name w:val="List Table 2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7">
    <w:name w:val="List Table 2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8">
    <w:name w:val="List Table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3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3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4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1">
    <w:name w:val="List Table 4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2">
    <w:name w:val="List Table 5 Dark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5 Dark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8">
    <w:name w:val="List Table 5 Dark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9">
    <w:name w:val="List Table 6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40">
    <w:name w:val="List Table 6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41">
    <w:name w:val="List Table 6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2">
    <w:name w:val="List Table 6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3">
    <w:name w:val="List Table 6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4">
    <w:name w:val="List Table 6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5">
    <w:name w:val="List Table 6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6">
    <w:name w:val="List Table 7 Colorful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7">
    <w:name w:val="List Table 7 Colorful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148">
    <w:name w:val="List Table 7 Colorful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149">
    <w:name w:val="List Table 7 Colorful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150">
    <w:name w:val="List Table 7 Colorful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151">
    <w:name w:val="List Table 7 Colorful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152">
    <w:name w:val="List Table 7 Colorful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153">
    <w:name w:val="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4">
    <w:name w:val="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55">
    <w:name w:val="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56">
    <w:name w:val="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57">
    <w:name w:val="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58">
    <w:name w:val="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59">
    <w:name w:val="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0">
    <w:name w:val="Bordered &amp; Lined - Accent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61">
    <w:name w:val="Bordered &amp; Lined - Accent 1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162">
    <w:name w:val="Bordered &amp; Lined - Accent 2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163">
    <w:name w:val="Bordered &amp; Lined - Accent 3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164">
    <w:name w:val="Bordered &amp; Lined - Accent 4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165">
    <w:name w:val="Bordered &amp; Lined - Accent 5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166">
    <w:name w:val="Bordered &amp; Lined - Accent 6"/>
    <w:basedOn w:val="61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167">
    <w:name w:val="Bordered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8">
    <w:name w:val="Bordered - Accent 1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9">
    <w:name w:val="Bordered - Accent 2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70">
    <w:name w:val="Bordered - Accent 3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71">
    <w:name w:val="Bordered - Accent 4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2">
    <w:name w:val="Bordered - Accent 5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3">
    <w:name w:val="Bordered - Accent 6"/>
    <w:basedOn w:val="61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4">
    <w:name w:val="Hyperlink"/>
    <w:uiPriority w:val="99"/>
    <w:unhideWhenUsed/>
    <w:rPr>
      <w:color w:val="0000ff" w:themeColor="hyperlink"/>
      <w:u w:val="single"/>
    </w:rPr>
  </w:style>
  <w:style w:type="paragraph" w:styleId="175">
    <w:name w:val="footnote text"/>
    <w:basedOn w:val="617"/>
    <w:link w:val="176"/>
    <w:uiPriority w:val="99"/>
    <w:semiHidden/>
    <w:unhideWhenUsed/>
    <w:pPr>
      <w:spacing w:after="40" w:line="240" w:lineRule="auto"/>
    </w:pPr>
    <w:rPr>
      <w:sz w:val="18"/>
    </w:rPr>
  </w:style>
  <w:style w:type="character" w:styleId="176">
    <w:name w:val="Footnote Text Char"/>
    <w:link w:val="175"/>
    <w:uiPriority w:val="99"/>
    <w:rPr>
      <w:sz w:val="18"/>
    </w:rPr>
  </w:style>
  <w:style w:type="character" w:styleId="177">
    <w:name w:val="footnote reference"/>
    <w:basedOn w:val="11"/>
    <w:uiPriority w:val="99"/>
    <w:unhideWhenUsed/>
    <w:rPr>
      <w:vertAlign w:val="superscript"/>
    </w:rPr>
  </w:style>
  <w:style w:type="paragraph" w:styleId="178">
    <w:name w:val="endnote text"/>
    <w:basedOn w:val="617"/>
    <w:link w:val="179"/>
    <w:uiPriority w:val="99"/>
    <w:semiHidden/>
    <w:unhideWhenUsed/>
    <w:pPr>
      <w:spacing w:after="0" w:line="240" w:lineRule="auto"/>
    </w:pPr>
    <w:rPr>
      <w:sz w:val="20"/>
    </w:rPr>
  </w:style>
  <w:style w:type="character" w:styleId="179">
    <w:name w:val="Endnote Text Char"/>
    <w:link w:val="178"/>
    <w:uiPriority w:val="99"/>
    <w:rPr>
      <w:sz w:val="20"/>
    </w:rPr>
  </w:style>
  <w:style w:type="character" w:styleId="180">
    <w:name w:val="endnote reference"/>
    <w:basedOn w:val="11"/>
    <w:uiPriority w:val="99"/>
    <w:semiHidden/>
    <w:unhideWhenUsed/>
    <w:rPr>
      <w:vertAlign w:val="superscript"/>
    </w:rPr>
  </w:style>
  <w:style w:type="paragraph" w:styleId="181">
    <w:name w:val="toc 1"/>
    <w:basedOn w:val="617"/>
    <w:next w:val="617"/>
    <w:uiPriority w:val="39"/>
    <w:unhideWhenUsed/>
    <w:pPr>
      <w:ind w:left="0" w:right="0" w:firstLine="0"/>
      <w:spacing w:after="57"/>
    </w:pPr>
  </w:style>
  <w:style w:type="paragraph" w:styleId="182">
    <w:name w:val="toc 2"/>
    <w:basedOn w:val="617"/>
    <w:next w:val="617"/>
    <w:uiPriority w:val="39"/>
    <w:unhideWhenUsed/>
    <w:pPr>
      <w:ind w:left="283" w:right="0" w:firstLine="0"/>
      <w:spacing w:after="57"/>
    </w:pPr>
  </w:style>
  <w:style w:type="paragraph" w:styleId="183">
    <w:name w:val="toc 3"/>
    <w:basedOn w:val="617"/>
    <w:next w:val="617"/>
    <w:uiPriority w:val="39"/>
    <w:unhideWhenUsed/>
    <w:pPr>
      <w:ind w:left="567" w:right="0" w:firstLine="0"/>
      <w:spacing w:after="57"/>
    </w:pPr>
  </w:style>
  <w:style w:type="paragraph" w:styleId="184">
    <w:name w:val="toc 4"/>
    <w:basedOn w:val="617"/>
    <w:next w:val="617"/>
    <w:uiPriority w:val="39"/>
    <w:unhideWhenUsed/>
    <w:pPr>
      <w:ind w:left="850" w:right="0" w:firstLine="0"/>
      <w:spacing w:after="57"/>
    </w:pPr>
  </w:style>
  <w:style w:type="paragraph" w:styleId="185">
    <w:name w:val="toc 5"/>
    <w:basedOn w:val="617"/>
    <w:next w:val="617"/>
    <w:uiPriority w:val="39"/>
    <w:unhideWhenUsed/>
    <w:pPr>
      <w:ind w:left="1134" w:right="0" w:firstLine="0"/>
      <w:spacing w:after="57"/>
    </w:pPr>
  </w:style>
  <w:style w:type="paragraph" w:styleId="186">
    <w:name w:val="toc 6"/>
    <w:basedOn w:val="617"/>
    <w:next w:val="617"/>
    <w:uiPriority w:val="39"/>
    <w:unhideWhenUsed/>
    <w:pPr>
      <w:ind w:left="1417" w:right="0" w:firstLine="0"/>
      <w:spacing w:after="57"/>
    </w:pPr>
  </w:style>
  <w:style w:type="paragraph" w:styleId="187">
    <w:name w:val="toc 7"/>
    <w:basedOn w:val="617"/>
    <w:next w:val="617"/>
    <w:uiPriority w:val="39"/>
    <w:unhideWhenUsed/>
    <w:pPr>
      <w:ind w:left="1701" w:right="0" w:firstLine="0"/>
      <w:spacing w:after="57"/>
    </w:pPr>
  </w:style>
  <w:style w:type="paragraph" w:styleId="188">
    <w:name w:val="toc 8"/>
    <w:basedOn w:val="617"/>
    <w:next w:val="617"/>
    <w:uiPriority w:val="39"/>
    <w:unhideWhenUsed/>
    <w:pPr>
      <w:ind w:left="1984" w:right="0" w:firstLine="0"/>
      <w:spacing w:after="57"/>
    </w:pPr>
  </w:style>
  <w:style w:type="paragraph" w:styleId="189">
    <w:name w:val="toc 9"/>
    <w:basedOn w:val="617"/>
    <w:next w:val="617"/>
    <w:uiPriority w:val="39"/>
    <w:unhideWhenUsed/>
    <w:pPr>
      <w:ind w:left="2268" w:right="0" w:firstLine="0"/>
      <w:spacing w:after="57"/>
    </w:pPr>
  </w:style>
  <w:style w:type="paragraph" w:styleId="190">
    <w:name w:val="TOC Heading"/>
    <w:uiPriority w:val="39"/>
    <w:unhideWhenUsed/>
  </w:style>
  <w:style w:type="paragraph" w:styleId="191">
    <w:name w:val="table of figures"/>
    <w:basedOn w:val="617"/>
    <w:next w:val="617"/>
    <w:uiPriority w:val="99"/>
    <w:unhideWhenUsed/>
    <w:pPr>
      <w:spacing w:after="0" w:afterAutospacing="0"/>
    </w:pPr>
  </w:style>
  <w:style w:type="paragraph" w:styleId="617" w:default="1">
    <w:name w:val="Normal"/>
    <w:qFormat/>
  </w:style>
  <w:style w:type="table" w:styleId="61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19" w:default="1">
    <w:name w:val="No List"/>
    <w:uiPriority w:val="99"/>
    <w:semiHidden/>
    <w:unhideWhenUsed/>
  </w:style>
  <w:style w:type="paragraph" w:styleId="620">
    <w:name w:val="No Spacing"/>
    <w:basedOn w:val="617"/>
    <w:uiPriority w:val="1"/>
    <w:qFormat/>
    <w:pPr>
      <w:spacing w:after="0" w:line="240" w:lineRule="auto"/>
    </w:pPr>
  </w:style>
  <w:style w:type="paragraph" w:styleId="621">
    <w:name w:val="List Paragraph"/>
    <w:basedOn w:val="617"/>
    <w:uiPriority w:val="34"/>
    <w:qFormat/>
    <w:pPr>
      <w:contextualSpacing/>
      <w:ind w:left="720"/>
    </w:pPr>
  </w:style>
  <w:style w:type="character" w:styleId="626" w:default="1">
    <w:name w:val="Default Paragraph Font"/>
    <w:uiPriority w:val="1"/>
    <w:semiHidden/>
    <w:unhideWhenUsed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ONLYOFFICE/7.4.0.163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1</cp:revision>
  <dcterms:modified xsi:type="dcterms:W3CDTF">2023-09-22T10:06:48Z</dcterms:modified>
</cp:coreProperties>
</file>